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600908" w:rsidP="00531DA4">
      <w:pPr>
        <w:pStyle w:val="Cabealho"/>
        <w:jc w:val="center"/>
      </w:pPr>
      <w:r>
        <w:t xml:space="preserve">  </w:t>
      </w:r>
      <w:r>
        <w:tab/>
      </w:r>
      <w:r w:rsidR="00531DA4">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C869BA">
        <w:rPr>
          <w:rFonts w:ascii="Arial" w:hAnsi="Arial" w:cs="Arial"/>
          <w:b/>
          <w:sz w:val="16"/>
          <w:szCs w:val="16"/>
        </w:rPr>
        <w:t>271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C869BA">
        <w:rPr>
          <w:rFonts w:ascii="Arial" w:hAnsi="Arial" w:cs="Arial"/>
          <w:b/>
          <w:bCs/>
          <w:sz w:val="16"/>
          <w:szCs w:val="16"/>
        </w:rPr>
        <w:t>446</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7B4A33">
        <w:rPr>
          <w:rFonts w:ascii="Arial" w:hAnsi="Arial" w:cs="Arial"/>
          <w:b/>
          <w:noProof/>
          <w:sz w:val="16"/>
          <w:szCs w:val="16"/>
        </w:rPr>
        <w:t>2101.00967-00/2016</w:t>
      </w:r>
    </w:p>
    <w:p w:rsidR="009D2314" w:rsidRPr="00587C0E" w:rsidRDefault="009D2314" w:rsidP="00F73958">
      <w:pPr>
        <w:pStyle w:val="Cabealho"/>
        <w:jc w:val="both"/>
        <w:rPr>
          <w:rFonts w:ascii="Arial" w:hAnsi="Arial" w:cs="Arial"/>
          <w:b/>
          <w:sz w:val="16"/>
          <w:szCs w:val="16"/>
        </w:rPr>
      </w:pPr>
    </w:p>
    <w:p w:rsidR="009D2314" w:rsidRPr="00C869BA" w:rsidRDefault="002E300A" w:rsidP="007E2F3D">
      <w:pPr>
        <w:jc w:val="both"/>
        <w:rPr>
          <w:rFonts w:ascii="Arial" w:hAnsi="Arial" w:cs="Arial"/>
          <w:color w:val="000000" w:themeColor="text1"/>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00D50A66" w:rsidRPr="00D86C43">
        <w:rPr>
          <w:rFonts w:ascii="Arial" w:hAnsi="Arial" w:cs="Arial"/>
          <w:sz w:val="16"/>
          <w:szCs w:val="16"/>
        </w:rPr>
        <w:t>AV. FARQUAR N° 2986 COMPLEXO RIO MADEIRA EDIFÍCIO, ED.</w:t>
      </w:r>
      <w:r w:rsidR="00D50A66">
        <w:rPr>
          <w:rFonts w:ascii="Arial" w:hAnsi="Arial" w:cs="Arial"/>
          <w:sz w:val="16"/>
          <w:szCs w:val="16"/>
        </w:rPr>
        <w:t xml:space="preserve"> CENTRAL, RIO</w:t>
      </w:r>
      <w:r w:rsidR="00D50A66" w:rsidRPr="00D86C43">
        <w:rPr>
          <w:rFonts w:ascii="Arial" w:hAnsi="Arial" w:cs="Arial"/>
          <w:sz w:val="16"/>
          <w:szCs w:val="16"/>
        </w:rPr>
        <w:t xml:space="preserve"> PACAÁS NOVOS</w:t>
      </w:r>
      <w:r w:rsidR="00D50A66">
        <w:rPr>
          <w:rFonts w:ascii="Arial" w:hAnsi="Arial" w:cs="Arial"/>
          <w:sz w:val="16"/>
          <w:szCs w:val="16"/>
        </w:rPr>
        <w:t>,</w:t>
      </w:r>
      <w:r w:rsidR="00D50A66" w:rsidRPr="00D86C43">
        <w:rPr>
          <w:rFonts w:ascii="Arial" w:hAnsi="Arial" w:cs="Arial"/>
          <w:sz w:val="16"/>
          <w:szCs w:val="16"/>
        </w:rPr>
        <w:t xml:space="preserve"> 2º ANDAR</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xml:space="preserve">, Senhor </w:t>
      </w:r>
      <w:r w:rsidRPr="00C869BA">
        <w:rPr>
          <w:rFonts w:ascii="Arial" w:hAnsi="Arial" w:cs="Arial"/>
          <w:color w:val="000000" w:themeColor="text1"/>
          <w:sz w:val="16"/>
          <w:szCs w:val="16"/>
        </w:rPr>
        <w:t>Márcio Rogério Gabriel e a(s) empresa(s) qualificada(s) no</w:t>
      </w:r>
      <w:r w:rsidR="00190648" w:rsidRPr="00C869BA">
        <w:rPr>
          <w:rFonts w:ascii="Arial" w:hAnsi="Arial" w:cs="Arial"/>
          <w:color w:val="000000" w:themeColor="text1"/>
          <w:sz w:val="16"/>
          <w:szCs w:val="16"/>
        </w:rPr>
        <w:t xml:space="preserve"> Anexo Único desta Ata, resolvem</w:t>
      </w:r>
      <w:r w:rsidRPr="00C869BA">
        <w:rPr>
          <w:rFonts w:ascii="Arial" w:hAnsi="Arial" w:cs="Arial"/>
          <w:color w:val="000000" w:themeColor="text1"/>
          <w:sz w:val="16"/>
          <w:szCs w:val="16"/>
        </w:rPr>
        <w:t xml:space="preserve"> </w:t>
      </w:r>
      <w:r w:rsidRPr="00C869BA">
        <w:rPr>
          <w:rFonts w:ascii="Arial" w:hAnsi="Arial" w:cs="Arial"/>
          <w:b/>
          <w:bCs/>
          <w:color w:val="000000" w:themeColor="text1"/>
          <w:sz w:val="16"/>
          <w:szCs w:val="16"/>
        </w:rPr>
        <w:t>REGISTRAR O PREÇ</w:t>
      </w:r>
      <w:r w:rsidR="00F17DD3" w:rsidRPr="00C869BA">
        <w:rPr>
          <w:rFonts w:ascii="Arial" w:hAnsi="Arial" w:cs="Arial"/>
          <w:b/>
          <w:bCs/>
          <w:color w:val="000000" w:themeColor="text1"/>
          <w:sz w:val="16"/>
          <w:szCs w:val="16"/>
        </w:rPr>
        <w:t xml:space="preserve">O </w:t>
      </w:r>
      <w:r w:rsidR="007B4A33" w:rsidRPr="00C869BA">
        <w:rPr>
          <w:rFonts w:ascii="Arial" w:hAnsi="Arial" w:cs="Arial"/>
          <w:color w:val="000000" w:themeColor="text1"/>
          <w:sz w:val="16"/>
          <w:szCs w:val="16"/>
        </w:rPr>
        <w:t>para eventual e futura</w:t>
      </w:r>
      <w:r w:rsidR="00D9528D" w:rsidRPr="00C869BA">
        <w:rPr>
          <w:rFonts w:ascii="Arial" w:hAnsi="Arial" w:cs="Arial"/>
          <w:color w:val="000000" w:themeColor="text1"/>
          <w:sz w:val="16"/>
          <w:szCs w:val="16"/>
        </w:rPr>
        <w:t xml:space="preserve"> </w:t>
      </w:r>
      <w:r w:rsidR="007B4A33" w:rsidRPr="00C869BA">
        <w:rPr>
          <w:rFonts w:ascii="Arial" w:hAnsi="Arial" w:cs="Arial"/>
          <w:color w:val="000000" w:themeColor="text1"/>
          <w:sz w:val="16"/>
          <w:szCs w:val="16"/>
        </w:rPr>
        <w:t>aquisição</w:t>
      </w:r>
      <w:r w:rsidR="00C869BA" w:rsidRPr="00C869BA">
        <w:rPr>
          <w:rFonts w:ascii="Arial" w:hAnsi="Arial" w:cs="Arial"/>
          <w:color w:val="000000" w:themeColor="text1"/>
          <w:sz w:val="16"/>
          <w:szCs w:val="16"/>
        </w:rPr>
        <w:t xml:space="preserve"> de material de consumo (gêneros alimentícios, copa e outros) para atender as necessidades da Superintendência de Gestão dos Gastos Públicos Administrativos – SUGESPE e órgãos vinculados, </w:t>
      </w:r>
      <w:r w:rsidR="00DF042C" w:rsidRPr="00C869BA">
        <w:rPr>
          <w:rFonts w:ascii="Arial" w:hAnsi="Arial" w:cs="Arial"/>
          <w:color w:val="000000" w:themeColor="text1"/>
          <w:sz w:val="16"/>
          <w:szCs w:val="16"/>
        </w:rPr>
        <w:t xml:space="preserve">por um período de 12 (doze) meses, </w:t>
      </w:r>
      <w:r w:rsidRPr="00C869BA">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869BA">
        <w:rPr>
          <w:rFonts w:ascii="Arial" w:hAnsi="Arial" w:cs="Arial"/>
          <w:color w:val="000000" w:themeColor="text1"/>
          <w:sz w:val="16"/>
          <w:szCs w:val="16"/>
        </w:rPr>
        <w:t>8.340/13</w:t>
      </w:r>
      <w:r w:rsidRPr="00C869BA">
        <w:rPr>
          <w:rFonts w:ascii="Arial" w:hAnsi="Arial" w:cs="Arial"/>
          <w:color w:val="000000" w:themeColor="text1"/>
          <w:sz w:val="16"/>
          <w:szCs w:val="16"/>
        </w:rPr>
        <w:t xml:space="preserve"> e suas alterações e em conformidade com as disposições a seguir.</w:t>
      </w:r>
    </w:p>
    <w:p w:rsidR="009D2314" w:rsidRPr="00C869BA" w:rsidRDefault="009D2314" w:rsidP="008A7686">
      <w:pPr>
        <w:rPr>
          <w:rFonts w:ascii="Arial" w:hAnsi="Arial" w:cs="Arial"/>
          <w:color w:val="000000" w:themeColor="text1"/>
          <w:sz w:val="16"/>
          <w:szCs w:val="16"/>
        </w:rPr>
      </w:pPr>
    </w:p>
    <w:p w:rsidR="009D2314" w:rsidRPr="00C869BA" w:rsidRDefault="009D2314" w:rsidP="009D2314">
      <w:pPr>
        <w:jc w:val="both"/>
        <w:rPr>
          <w:rFonts w:ascii="Arial" w:hAnsi="Arial" w:cs="Arial"/>
          <w:color w:val="000000" w:themeColor="text1"/>
          <w:sz w:val="16"/>
          <w:szCs w:val="16"/>
        </w:rPr>
      </w:pPr>
      <w:r w:rsidRPr="00C869BA">
        <w:rPr>
          <w:rFonts w:ascii="Arial" w:hAnsi="Arial" w:cs="Arial"/>
          <w:b/>
          <w:bCs/>
          <w:color w:val="000000" w:themeColor="text1"/>
          <w:sz w:val="16"/>
          <w:szCs w:val="16"/>
        </w:rPr>
        <w:t>1. DO OBJETO</w:t>
      </w:r>
    </w:p>
    <w:p w:rsidR="009D2314" w:rsidRPr="00C869BA" w:rsidRDefault="009D2314" w:rsidP="009D2314">
      <w:pPr>
        <w:jc w:val="both"/>
        <w:rPr>
          <w:rFonts w:ascii="Arial" w:hAnsi="Arial" w:cs="Arial"/>
          <w:color w:val="000000" w:themeColor="text1"/>
          <w:sz w:val="16"/>
          <w:szCs w:val="16"/>
        </w:rPr>
      </w:pPr>
    </w:p>
    <w:p w:rsidR="00DB505B" w:rsidRPr="00C869BA" w:rsidRDefault="002E300A" w:rsidP="008C7613">
      <w:pPr>
        <w:jc w:val="both"/>
        <w:rPr>
          <w:rFonts w:ascii="Arial" w:hAnsi="Arial" w:cs="Arial"/>
          <w:color w:val="000000" w:themeColor="text1"/>
          <w:sz w:val="16"/>
          <w:szCs w:val="16"/>
        </w:rPr>
      </w:pPr>
      <w:r w:rsidRPr="00C869BA">
        <w:rPr>
          <w:rFonts w:ascii="Arial" w:hAnsi="Arial" w:cs="Arial"/>
          <w:b/>
          <w:color w:val="000000" w:themeColor="text1"/>
          <w:sz w:val="16"/>
          <w:szCs w:val="16"/>
        </w:rPr>
        <w:t>REGISTRAR O PREÇO</w:t>
      </w:r>
      <w:r w:rsidR="00524202" w:rsidRPr="00C869BA">
        <w:rPr>
          <w:rFonts w:ascii="Arial" w:hAnsi="Arial" w:cs="Arial"/>
          <w:color w:val="000000" w:themeColor="text1"/>
          <w:sz w:val="16"/>
          <w:szCs w:val="16"/>
        </w:rPr>
        <w:t xml:space="preserve"> </w:t>
      </w:r>
      <w:r w:rsidR="00D9528D" w:rsidRPr="00C869BA">
        <w:rPr>
          <w:rFonts w:ascii="Arial" w:hAnsi="Arial" w:cs="Arial"/>
          <w:color w:val="000000" w:themeColor="text1"/>
          <w:sz w:val="16"/>
          <w:szCs w:val="16"/>
        </w:rPr>
        <w:t xml:space="preserve">para </w:t>
      </w:r>
      <w:r w:rsidR="007B4A33" w:rsidRPr="00C869BA">
        <w:rPr>
          <w:rFonts w:ascii="Arial" w:hAnsi="Arial" w:cs="Arial"/>
          <w:color w:val="000000" w:themeColor="text1"/>
          <w:sz w:val="16"/>
          <w:szCs w:val="16"/>
        </w:rPr>
        <w:t xml:space="preserve">eventual e futura </w:t>
      </w:r>
      <w:r w:rsidR="00C869BA" w:rsidRPr="00C869BA">
        <w:rPr>
          <w:rFonts w:ascii="Arial" w:hAnsi="Arial" w:cs="Arial"/>
          <w:color w:val="000000" w:themeColor="text1"/>
          <w:sz w:val="16"/>
          <w:szCs w:val="16"/>
        </w:rPr>
        <w:t>aquisição de material de consumo (gêneros alimentícios, copa e outros) para atender as necessidades da Superintendência de Gestão dos Gastos Públicos Administrativos – SUGESPE e órgãos vinculados.</w:t>
      </w:r>
    </w:p>
    <w:p w:rsidR="007B4A33" w:rsidRDefault="007B4A3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891C60" w:rsidRDefault="00891C60" w:rsidP="00891C60">
      <w:pPr>
        <w:pStyle w:val="PargrafodaLista"/>
        <w:rPr>
          <w:rFonts w:ascii="Arial" w:hAnsi="Arial" w:cs="Arial"/>
          <w:sz w:val="16"/>
          <w:szCs w:val="16"/>
        </w:rPr>
      </w:pPr>
    </w:p>
    <w:p w:rsidR="00C869BA" w:rsidRPr="00C869BA" w:rsidRDefault="00C869BA" w:rsidP="00C869BA">
      <w:pPr>
        <w:pStyle w:val="PargrafodaLista"/>
        <w:numPr>
          <w:ilvl w:val="1"/>
          <w:numId w:val="32"/>
        </w:numPr>
        <w:tabs>
          <w:tab w:val="num" w:pos="0"/>
        </w:tabs>
        <w:jc w:val="both"/>
        <w:rPr>
          <w:rFonts w:ascii="Arial" w:hAnsi="Arial" w:cs="Arial"/>
          <w:bCs/>
          <w:color w:val="000000" w:themeColor="text1"/>
          <w:sz w:val="16"/>
          <w:szCs w:val="16"/>
        </w:rPr>
      </w:pPr>
      <w:r w:rsidRPr="00A31BAF">
        <w:rPr>
          <w:rFonts w:ascii="Arial" w:hAnsi="Arial" w:cs="Arial"/>
          <w:b/>
          <w:bCs/>
          <w:color w:val="000000" w:themeColor="text1"/>
          <w:sz w:val="16"/>
          <w:szCs w:val="16"/>
        </w:rPr>
        <w:t xml:space="preserve">PRAZO DE </w:t>
      </w:r>
      <w:r w:rsidRPr="00C869BA">
        <w:rPr>
          <w:rFonts w:ascii="Arial" w:hAnsi="Arial" w:cs="Arial"/>
          <w:b/>
          <w:bCs/>
          <w:color w:val="000000" w:themeColor="text1"/>
          <w:sz w:val="16"/>
          <w:szCs w:val="16"/>
        </w:rPr>
        <w:t>ENTREGA</w:t>
      </w:r>
      <w:r w:rsidRPr="00C869BA">
        <w:rPr>
          <w:rFonts w:ascii="Arial" w:hAnsi="Arial" w:cs="Arial"/>
          <w:color w:val="000000" w:themeColor="text1"/>
          <w:sz w:val="16"/>
          <w:szCs w:val="16"/>
        </w:rPr>
        <w:t xml:space="preserve">: O prazo para entrega será de até </w:t>
      </w:r>
      <w:r w:rsidRPr="00C869BA">
        <w:rPr>
          <w:rFonts w:ascii="Arial" w:hAnsi="Arial" w:cs="Arial"/>
          <w:bCs/>
          <w:color w:val="000000" w:themeColor="text1"/>
          <w:sz w:val="16"/>
          <w:szCs w:val="16"/>
        </w:rPr>
        <w:t>30 (trinta) dias</w:t>
      </w:r>
      <w:r w:rsidRPr="00C869BA">
        <w:rPr>
          <w:rFonts w:ascii="Arial" w:hAnsi="Arial" w:cs="Arial"/>
          <w:color w:val="000000" w:themeColor="text1"/>
          <w:sz w:val="16"/>
          <w:szCs w:val="16"/>
        </w:rPr>
        <w:t>, contados a partir da data de entrega da Nota de Empenho, expedida pela SUGESP.</w:t>
      </w:r>
    </w:p>
    <w:p w:rsidR="00C869BA" w:rsidRPr="00C869BA" w:rsidRDefault="00C869BA" w:rsidP="00C869BA">
      <w:pPr>
        <w:pStyle w:val="PargrafodaLista"/>
        <w:ind w:left="360"/>
        <w:jc w:val="both"/>
        <w:rPr>
          <w:rFonts w:ascii="Arial" w:hAnsi="Arial" w:cs="Arial"/>
          <w:bCs/>
          <w:color w:val="000000" w:themeColor="text1"/>
          <w:sz w:val="16"/>
          <w:szCs w:val="16"/>
        </w:rPr>
      </w:pPr>
    </w:p>
    <w:p w:rsidR="005E1530" w:rsidRPr="00C869BA" w:rsidRDefault="00C869BA" w:rsidP="00C869BA">
      <w:pPr>
        <w:pStyle w:val="PargrafodaLista"/>
        <w:numPr>
          <w:ilvl w:val="1"/>
          <w:numId w:val="32"/>
        </w:numPr>
        <w:tabs>
          <w:tab w:val="num" w:pos="0"/>
        </w:tabs>
        <w:jc w:val="both"/>
        <w:rPr>
          <w:rFonts w:ascii="Arial" w:hAnsi="Arial" w:cs="Arial"/>
          <w:b/>
          <w:bCs/>
          <w:color w:val="000000" w:themeColor="text1"/>
          <w:sz w:val="16"/>
          <w:szCs w:val="16"/>
        </w:rPr>
      </w:pPr>
      <w:r w:rsidRPr="00C869BA">
        <w:rPr>
          <w:rFonts w:ascii="Arial" w:hAnsi="Arial" w:cs="Arial"/>
          <w:b/>
          <w:color w:val="000000" w:themeColor="text1"/>
          <w:sz w:val="16"/>
          <w:szCs w:val="16"/>
        </w:rPr>
        <w:t xml:space="preserve">LOCAL/HORÁRIOS: </w:t>
      </w:r>
      <w:r w:rsidRPr="00C869BA">
        <w:rPr>
          <w:rFonts w:ascii="Arial" w:hAnsi="Arial" w:cs="Arial"/>
          <w:color w:val="000000" w:themeColor="text1"/>
          <w:sz w:val="16"/>
          <w:szCs w:val="16"/>
        </w:rPr>
        <w:t xml:space="preserve">Os materiais deverão ser entregues de FORMA PARCIAL, de acordo com as Notas de Empenho emitidas, de segunda a sexta – feira, das </w:t>
      </w:r>
      <w:proofErr w:type="gramStart"/>
      <w:r w:rsidRPr="00C869BA">
        <w:rPr>
          <w:rFonts w:ascii="Arial" w:hAnsi="Arial" w:cs="Arial"/>
          <w:color w:val="000000" w:themeColor="text1"/>
          <w:sz w:val="16"/>
          <w:szCs w:val="16"/>
        </w:rPr>
        <w:t>07:30</w:t>
      </w:r>
      <w:proofErr w:type="gramEnd"/>
      <w:r w:rsidRPr="00C869BA">
        <w:rPr>
          <w:rFonts w:ascii="Arial" w:hAnsi="Arial" w:cs="Arial"/>
          <w:color w:val="000000" w:themeColor="text1"/>
          <w:sz w:val="16"/>
          <w:szCs w:val="16"/>
        </w:rPr>
        <w:t xml:space="preserve"> às 13:30</w:t>
      </w:r>
      <w:proofErr w:type="spellStart"/>
      <w:r w:rsidRPr="00C869BA">
        <w:rPr>
          <w:rFonts w:ascii="Arial" w:hAnsi="Arial" w:cs="Arial"/>
          <w:color w:val="000000" w:themeColor="text1"/>
          <w:sz w:val="16"/>
          <w:szCs w:val="16"/>
        </w:rPr>
        <w:t>hs</w:t>
      </w:r>
      <w:proofErr w:type="spellEnd"/>
      <w:r w:rsidRPr="00C869BA">
        <w:rPr>
          <w:rFonts w:ascii="Arial" w:hAnsi="Arial" w:cs="Arial"/>
          <w:color w:val="000000" w:themeColor="text1"/>
          <w:sz w:val="16"/>
          <w:szCs w:val="16"/>
        </w:rPr>
        <w:t>, no Almoxarifado Central do Governo/CGPRF, situada à Rua Antônio Lacerda, n° 4138, Bairro: Setor Industrial, na cidade de Porto Velho – RO, ou em outro a ser definido pela SUGESP, desde que comunicado antecipadamente à contratada.</w:t>
      </w:r>
    </w:p>
    <w:p w:rsidR="00C869BA" w:rsidRPr="00C869BA" w:rsidRDefault="00C869BA" w:rsidP="00C869BA">
      <w:pPr>
        <w:pStyle w:val="PargrafodaLista"/>
        <w:rPr>
          <w:rFonts w:ascii="Arial" w:hAnsi="Arial" w:cs="Arial"/>
          <w:b/>
          <w:bCs/>
          <w:color w:val="000000" w:themeColor="text1"/>
          <w:sz w:val="16"/>
          <w:szCs w:val="16"/>
        </w:rPr>
      </w:pPr>
    </w:p>
    <w:p w:rsidR="00C869BA" w:rsidRPr="00C869BA" w:rsidRDefault="00C869BA" w:rsidP="00C869BA">
      <w:pPr>
        <w:pStyle w:val="PargrafodaLista"/>
        <w:ind w:left="360"/>
        <w:jc w:val="both"/>
        <w:rPr>
          <w:rFonts w:ascii="Arial" w:hAnsi="Arial" w:cs="Arial"/>
          <w:b/>
          <w:bCs/>
          <w:color w:val="000000" w:themeColor="text1"/>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C869BA" w:rsidRDefault="008E4E8A" w:rsidP="008E4E8A">
      <w:pPr>
        <w:pStyle w:val="Lista2"/>
        <w:ind w:left="0" w:firstLine="0"/>
        <w:rPr>
          <w:b/>
          <w:bCs/>
          <w:sz w:val="16"/>
          <w:szCs w:val="16"/>
        </w:rPr>
      </w:pPr>
      <w:r w:rsidRPr="008E4E8A">
        <w:rPr>
          <w:b/>
          <w:bCs/>
          <w:sz w:val="16"/>
          <w:szCs w:val="16"/>
        </w:rPr>
        <w:t xml:space="preserve"> </w:t>
      </w:r>
    </w:p>
    <w:p w:rsidR="008E4E8A" w:rsidRPr="00C869BA" w:rsidRDefault="008E4E8A" w:rsidP="008E4E8A">
      <w:pPr>
        <w:pStyle w:val="Lista2"/>
        <w:jc w:val="both"/>
        <w:rPr>
          <w:b/>
          <w:bCs/>
          <w:i/>
          <w:sz w:val="16"/>
          <w:szCs w:val="16"/>
        </w:rPr>
      </w:pPr>
    </w:p>
    <w:p w:rsidR="00C869BA" w:rsidRPr="00C869BA" w:rsidRDefault="00C869BA" w:rsidP="00C869BA">
      <w:pPr>
        <w:pStyle w:val="ecxmsonormal"/>
        <w:numPr>
          <w:ilvl w:val="1"/>
          <w:numId w:val="39"/>
        </w:numPr>
        <w:shd w:val="clear" w:color="auto" w:fill="FFFFFF"/>
        <w:tabs>
          <w:tab w:val="left" w:pos="284"/>
          <w:tab w:val="left" w:pos="426"/>
          <w:tab w:val="left" w:pos="567"/>
          <w:tab w:val="left" w:pos="1134"/>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Aos adjudicatários que descumprirem total ou parcialmente os contratos celebrados com a Administração Pública Estadual, serão aplicadas as sanções previstas no art. 87 da Lei Federal nº 8.666/93, e demais cominações legais, com </w:t>
      </w:r>
      <w:proofErr w:type="gramStart"/>
      <w:r w:rsidRPr="00C869BA">
        <w:rPr>
          <w:rFonts w:ascii="Arial" w:hAnsi="Arial" w:cs="Arial"/>
          <w:sz w:val="16"/>
          <w:szCs w:val="16"/>
        </w:rPr>
        <w:t>observância ao devido processo administrativo, respeitando-se o contraditório e a ampla defesa</w:t>
      </w:r>
      <w:proofErr w:type="gramEnd"/>
      <w:r w:rsidRPr="00C869BA">
        <w:rPr>
          <w:rFonts w:ascii="Arial" w:hAnsi="Arial" w:cs="Arial"/>
          <w:sz w:val="16"/>
          <w:szCs w:val="16"/>
        </w:rPr>
        <w:t>.</w:t>
      </w:r>
    </w:p>
    <w:p w:rsidR="00C869BA" w:rsidRPr="00C869BA" w:rsidRDefault="00C869BA" w:rsidP="00C869BA">
      <w:pPr>
        <w:pStyle w:val="ecxmsonormal"/>
        <w:shd w:val="clear" w:color="auto" w:fill="FFFFFF"/>
        <w:tabs>
          <w:tab w:val="left" w:pos="284"/>
          <w:tab w:val="left" w:pos="426"/>
          <w:tab w:val="left" w:pos="567"/>
          <w:tab w:val="left" w:pos="1134"/>
        </w:tabs>
        <w:spacing w:before="0" w:beforeAutospacing="0" w:after="0" w:afterAutospacing="0"/>
        <w:jc w:val="both"/>
        <w:rPr>
          <w:rFonts w:ascii="Arial" w:hAnsi="Arial" w:cs="Arial"/>
          <w:sz w:val="16"/>
          <w:szCs w:val="16"/>
        </w:rPr>
      </w:pPr>
    </w:p>
    <w:p w:rsidR="00C869BA" w:rsidRPr="00C869BA" w:rsidRDefault="00C869BA" w:rsidP="00C869BA">
      <w:pPr>
        <w:pStyle w:val="ecxmsonormal"/>
        <w:numPr>
          <w:ilvl w:val="1"/>
          <w:numId w:val="39"/>
        </w:numPr>
        <w:shd w:val="clear" w:color="auto" w:fill="FFFFFF"/>
        <w:tabs>
          <w:tab w:val="left" w:pos="284"/>
          <w:tab w:val="left" w:pos="426"/>
          <w:tab w:val="left" w:pos="567"/>
          <w:tab w:val="left" w:pos="1134"/>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 Em caso de inexecução parcial ou total das condições fixadas na licitação, execução imperfeita, inadimplemento contratual, não veracidade das informações ou mora de execução, erros ou atraso a entrega dos materiais e quaisquer outras irregularidades, a Administração poderá, a seu critério, isolada ou cumulativamente, garantida a prévia defesa, aplicar à empresa adjudicatária as seguintes penalidades:</w:t>
      </w:r>
    </w:p>
    <w:p w:rsidR="00C869BA" w:rsidRPr="00C869BA" w:rsidRDefault="00C869BA" w:rsidP="00C869BA">
      <w:pPr>
        <w:pStyle w:val="ecxmsonormal"/>
        <w:numPr>
          <w:ilvl w:val="2"/>
          <w:numId w:val="39"/>
        </w:numPr>
        <w:shd w:val="clear" w:color="auto" w:fill="FFFFFF"/>
        <w:tabs>
          <w:tab w:val="left" w:pos="0"/>
          <w:tab w:val="left" w:pos="284"/>
          <w:tab w:val="left" w:pos="426"/>
          <w:tab w:val="left" w:pos="567"/>
        </w:tabs>
        <w:spacing w:before="120" w:beforeAutospacing="0" w:after="0" w:afterAutospacing="0"/>
        <w:ind w:left="0" w:firstLine="0"/>
        <w:jc w:val="both"/>
        <w:rPr>
          <w:rFonts w:ascii="Arial" w:hAnsi="Arial" w:cs="Arial"/>
          <w:sz w:val="16"/>
          <w:szCs w:val="16"/>
        </w:rPr>
      </w:pPr>
      <w:r w:rsidRPr="00C869BA">
        <w:rPr>
          <w:rFonts w:ascii="Arial" w:hAnsi="Arial" w:cs="Arial"/>
          <w:b/>
          <w:sz w:val="16"/>
          <w:szCs w:val="16"/>
          <w:u w:val="single"/>
        </w:rPr>
        <w:t>Advertência escrita</w:t>
      </w:r>
      <w:r w:rsidRPr="00C869BA">
        <w:rPr>
          <w:rFonts w:ascii="Arial" w:hAnsi="Arial" w:cs="Arial"/>
          <w:sz w:val="16"/>
          <w:szCs w:val="16"/>
        </w:rPr>
        <w:t xml:space="preserve"> – 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w:t>
      </w:r>
    </w:p>
    <w:p w:rsidR="00C869BA" w:rsidRPr="00C869BA" w:rsidRDefault="00C869BA" w:rsidP="00C869BA">
      <w:pPr>
        <w:pStyle w:val="ecxmsonormal"/>
        <w:numPr>
          <w:ilvl w:val="2"/>
          <w:numId w:val="39"/>
        </w:numPr>
        <w:shd w:val="clear" w:color="auto" w:fill="FFFFFF"/>
        <w:tabs>
          <w:tab w:val="left" w:pos="0"/>
          <w:tab w:val="left" w:pos="284"/>
          <w:tab w:val="left" w:pos="426"/>
          <w:tab w:val="left" w:pos="567"/>
        </w:tabs>
        <w:spacing w:before="120" w:beforeAutospacing="0" w:after="0" w:afterAutospacing="0"/>
        <w:ind w:left="0" w:firstLine="0"/>
        <w:jc w:val="both"/>
        <w:rPr>
          <w:rFonts w:ascii="Arial" w:hAnsi="Arial" w:cs="Arial"/>
          <w:sz w:val="16"/>
          <w:szCs w:val="16"/>
        </w:rPr>
      </w:pPr>
      <w:r w:rsidRPr="00C869BA">
        <w:rPr>
          <w:rFonts w:ascii="Arial" w:hAnsi="Arial" w:cs="Arial"/>
          <w:b/>
          <w:sz w:val="16"/>
          <w:szCs w:val="16"/>
          <w:u w:val="single"/>
        </w:rPr>
        <w:t>Multa</w:t>
      </w:r>
      <w:r w:rsidRPr="00C869BA">
        <w:rPr>
          <w:rFonts w:ascii="Arial" w:hAnsi="Arial" w:cs="Arial"/>
          <w:sz w:val="16"/>
          <w:szCs w:val="16"/>
        </w:rPr>
        <w:t xml:space="preserve"> – que deverá observar os seguintes limites máximos:</w:t>
      </w:r>
    </w:p>
    <w:p w:rsidR="00C869BA" w:rsidRPr="00C869BA" w:rsidRDefault="00C869BA" w:rsidP="00C869BA">
      <w:pPr>
        <w:pStyle w:val="ecxmsonormal"/>
        <w:numPr>
          <w:ilvl w:val="0"/>
          <w:numId w:val="18"/>
        </w:numPr>
        <w:shd w:val="clear" w:color="auto" w:fill="FFFFFF"/>
        <w:tabs>
          <w:tab w:val="left" w:pos="284"/>
          <w:tab w:val="left" w:pos="426"/>
          <w:tab w:val="left" w:pos="567"/>
          <w:tab w:val="left" w:pos="1134"/>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De 0,3% (três décimos por cento) por dia, até o trigésimo dia de atraso, </w:t>
      </w:r>
      <w:r w:rsidRPr="00C869BA">
        <w:rPr>
          <w:rFonts w:ascii="Arial" w:hAnsi="Arial" w:cs="Arial"/>
          <w:b/>
          <w:i/>
          <w:sz w:val="16"/>
          <w:szCs w:val="16"/>
          <w:u w:val="single"/>
        </w:rPr>
        <w:t>sobre o valor da parte inadimplida do contrato</w:t>
      </w:r>
      <w:r w:rsidRPr="00C869BA">
        <w:rPr>
          <w:rFonts w:ascii="Arial" w:hAnsi="Arial" w:cs="Arial"/>
          <w:sz w:val="16"/>
          <w:szCs w:val="16"/>
        </w:rPr>
        <w:t>;</w:t>
      </w:r>
    </w:p>
    <w:p w:rsidR="00C869BA" w:rsidRPr="00C869BA" w:rsidRDefault="00C869BA" w:rsidP="00C869BA">
      <w:pPr>
        <w:pStyle w:val="ecxmsonormal"/>
        <w:numPr>
          <w:ilvl w:val="0"/>
          <w:numId w:val="18"/>
        </w:numPr>
        <w:shd w:val="clear" w:color="auto" w:fill="FFFFFF"/>
        <w:tabs>
          <w:tab w:val="left" w:pos="284"/>
          <w:tab w:val="left" w:pos="426"/>
          <w:tab w:val="left" w:pos="567"/>
          <w:tab w:val="left" w:pos="1134"/>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De 10% (dez por cento) sobre o valor da nota de empenho ou do contrato, em caso de recusa do adjudicatário em efetuar o reforço de garantia;</w:t>
      </w:r>
    </w:p>
    <w:p w:rsidR="00C869BA" w:rsidRPr="00C869BA" w:rsidRDefault="00C869BA" w:rsidP="00C869BA">
      <w:pPr>
        <w:pStyle w:val="ecxmsonormal"/>
        <w:numPr>
          <w:ilvl w:val="0"/>
          <w:numId w:val="18"/>
        </w:numPr>
        <w:shd w:val="clear" w:color="auto" w:fill="FFFFFF"/>
        <w:tabs>
          <w:tab w:val="left" w:pos="284"/>
          <w:tab w:val="left" w:pos="426"/>
          <w:tab w:val="left" w:pos="567"/>
          <w:tab w:val="left" w:pos="1134"/>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De 0,5% (meio por cento) por dia de atraso até o limite de 10% sobre o valor adjudicado, no caso da adjudicatária recusar-se a retirar o instrumento contratual injustificadamente ou se não apresentar situação regular na ocasião dos recebimentos, por ocorrência;</w:t>
      </w:r>
    </w:p>
    <w:p w:rsidR="00C869BA" w:rsidRPr="00C869BA" w:rsidRDefault="00C869BA" w:rsidP="00C869BA">
      <w:pPr>
        <w:pStyle w:val="ecxmsonormal"/>
        <w:numPr>
          <w:ilvl w:val="0"/>
          <w:numId w:val="18"/>
        </w:numPr>
        <w:shd w:val="clear" w:color="auto" w:fill="FFFFFF"/>
        <w:tabs>
          <w:tab w:val="left" w:pos="284"/>
          <w:tab w:val="left" w:pos="426"/>
          <w:tab w:val="left" w:pos="567"/>
          <w:tab w:val="left" w:pos="1134"/>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De 20% (vinte por cento) sobre o valor do fornecimento, não realizado, no caso de atraso superior a 30 (trinta) dias, ou entrega de objeto com vícios ou defeitos ocultos que o tornem impróprio ao uso a que é destinado, ou diminuam- lhe o valor ou, ainda, fora das especificações contratadas.</w:t>
      </w:r>
    </w:p>
    <w:p w:rsidR="00C869BA" w:rsidRPr="00C869BA" w:rsidRDefault="00C869BA" w:rsidP="00C869BA">
      <w:pPr>
        <w:pStyle w:val="ecxmsonormal"/>
        <w:numPr>
          <w:ilvl w:val="0"/>
          <w:numId w:val="37"/>
        </w:numPr>
        <w:shd w:val="clear" w:color="auto" w:fill="FFFFFF"/>
        <w:tabs>
          <w:tab w:val="left" w:pos="284"/>
          <w:tab w:val="left" w:pos="426"/>
          <w:tab w:val="left" w:pos="567"/>
          <w:tab w:val="left" w:pos="709"/>
          <w:tab w:val="left" w:pos="99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O valor da multa aplicada será descontado do valor da garantia prestada, retido dos pagamentos devidos pela Administração Pública Estadual ou ainda, cobrado judicialmente, nos termos dos §§ 2º e 3º do artigo 86, da Lei nº 8.666/93.</w:t>
      </w:r>
    </w:p>
    <w:p w:rsidR="00C869BA" w:rsidRPr="00C869BA" w:rsidRDefault="00C869BA" w:rsidP="00C869BA">
      <w:pPr>
        <w:pStyle w:val="ecxmsonormal"/>
        <w:numPr>
          <w:ilvl w:val="0"/>
          <w:numId w:val="37"/>
        </w:numPr>
        <w:shd w:val="clear" w:color="auto" w:fill="FFFFFF"/>
        <w:tabs>
          <w:tab w:val="left" w:pos="284"/>
          <w:tab w:val="left" w:pos="426"/>
          <w:tab w:val="left" w:pos="567"/>
          <w:tab w:val="left" w:pos="709"/>
          <w:tab w:val="left" w:pos="99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 As multas previstas nesta seção não eximem a adjudicatária ou contratada da reparação dos eventuais danos, perdas ou prejuízos que seu ato punível venha causar à Administração.</w:t>
      </w:r>
    </w:p>
    <w:p w:rsidR="00C869BA" w:rsidRPr="00C869BA" w:rsidRDefault="00C869BA" w:rsidP="00C869BA">
      <w:pPr>
        <w:pStyle w:val="ecxmsonormal"/>
        <w:numPr>
          <w:ilvl w:val="2"/>
          <w:numId w:val="39"/>
        </w:numPr>
        <w:shd w:val="clear" w:color="auto" w:fill="FFFFFF"/>
        <w:tabs>
          <w:tab w:val="left" w:pos="142"/>
          <w:tab w:val="left" w:pos="284"/>
          <w:tab w:val="left" w:pos="709"/>
        </w:tabs>
        <w:spacing w:before="120" w:beforeAutospacing="0" w:after="0" w:afterAutospacing="0"/>
        <w:ind w:left="0" w:firstLine="0"/>
        <w:jc w:val="both"/>
        <w:rPr>
          <w:rFonts w:ascii="Arial" w:hAnsi="Arial" w:cs="Arial"/>
          <w:sz w:val="16"/>
          <w:szCs w:val="16"/>
        </w:rPr>
      </w:pPr>
      <w:r w:rsidRPr="00C869BA">
        <w:rPr>
          <w:rFonts w:ascii="Arial" w:hAnsi="Arial" w:cs="Arial"/>
          <w:b/>
          <w:sz w:val="16"/>
          <w:szCs w:val="16"/>
          <w:u w:val="single"/>
        </w:rPr>
        <w:t>Suspensão temporária de participação em licitação e impedimento de contratar com a Administração Pública Estadual</w:t>
      </w:r>
      <w:r w:rsidRPr="00C869BA">
        <w:rPr>
          <w:rFonts w:ascii="Arial" w:hAnsi="Arial" w:cs="Arial"/>
          <w:sz w:val="16"/>
          <w:szCs w:val="16"/>
        </w:rPr>
        <w:t>, impedindo o fornecedor de licitar e contratar com a Administração Pública Estadual pelos seguintes prazos:</w:t>
      </w:r>
    </w:p>
    <w:p w:rsidR="00C869BA" w:rsidRPr="00C869BA" w:rsidRDefault="00C869BA" w:rsidP="00C869BA">
      <w:pPr>
        <w:pStyle w:val="ecxmsonormal"/>
        <w:numPr>
          <w:ilvl w:val="0"/>
          <w:numId w:val="19"/>
        </w:numPr>
        <w:shd w:val="clear" w:color="auto" w:fill="FFFFFF"/>
        <w:tabs>
          <w:tab w:val="left" w:pos="142"/>
          <w:tab w:val="left" w:pos="284"/>
          <w:tab w:val="left" w:pos="709"/>
          <w:tab w:val="left" w:pos="993"/>
          <w:tab w:val="left" w:pos="184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De </w:t>
      </w:r>
      <w:proofErr w:type="gramStart"/>
      <w:r w:rsidRPr="00C869BA">
        <w:rPr>
          <w:rFonts w:ascii="Arial" w:hAnsi="Arial" w:cs="Arial"/>
          <w:sz w:val="16"/>
          <w:szCs w:val="16"/>
        </w:rPr>
        <w:t>6</w:t>
      </w:r>
      <w:proofErr w:type="gramEnd"/>
      <w:r w:rsidRPr="00C869BA">
        <w:rPr>
          <w:rFonts w:ascii="Arial" w:hAnsi="Arial" w:cs="Arial"/>
          <w:sz w:val="16"/>
          <w:szCs w:val="16"/>
        </w:rPr>
        <w:t xml:space="preserve"> (seis) meses, nos casos de:</w:t>
      </w:r>
    </w:p>
    <w:p w:rsidR="00C869BA" w:rsidRPr="00C869BA" w:rsidRDefault="00C869BA" w:rsidP="00C869BA">
      <w:pPr>
        <w:pStyle w:val="ecxmsonormal"/>
        <w:numPr>
          <w:ilvl w:val="1"/>
          <w:numId w:val="19"/>
        </w:numPr>
        <w:shd w:val="clear" w:color="auto" w:fill="FFFFFF"/>
        <w:tabs>
          <w:tab w:val="left" w:pos="142"/>
          <w:tab w:val="left" w:pos="284"/>
          <w:tab w:val="left" w:pos="709"/>
          <w:tab w:val="left" w:pos="1418"/>
          <w:tab w:val="left" w:pos="1701"/>
        </w:tabs>
        <w:autoSpaceDE w:val="0"/>
        <w:autoSpaceDN w:val="0"/>
        <w:adjustRightInd w:val="0"/>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Alteração de substância, qualidade ou quantidade da mercadoria fornecida; </w:t>
      </w:r>
      <w:proofErr w:type="gramStart"/>
      <w:r w:rsidRPr="00C869BA">
        <w:rPr>
          <w:rFonts w:ascii="Arial" w:hAnsi="Arial" w:cs="Arial"/>
          <w:sz w:val="16"/>
          <w:szCs w:val="16"/>
        </w:rPr>
        <w:t>ou</w:t>
      </w:r>
      <w:proofErr w:type="gramEnd"/>
    </w:p>
    <w:p w:rsidR="00C869BA" w:rsidRPr="00C869BA" w:rsidRDefault="00C869BA" w:rsidP="00C869BA">
      <w:pPr>
        <w:pStyle w:val="ecxmsonormal"/>
        <w:numPr>
          <w:ilvl w:val="1"/>
          <w:numId w:val="19"/>
        </w:numPr>
        <w:shd w:val="clear" w:color="auto" w:fill="FFFFFF"/>
        <w:tabs>
          <w:tab w:val="left" w:pos="142"/>
          <w:tab w:val="left" w:pos="284"/>
          <w:tab w:val="left" w:pos="709"/>
          <w:tab w:val="left" w:pos="1418"/>
          <w:tab w:val="left" w:pos="1701"/>
        </w:tabs>
        <w:autoSpaceDE w:val="0"/>
        <w:autoSpaceDN w:val="0"/>
        <w:adjustRightInd w:val="0"/>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Prestação de serviço de baixa qualidade.</w:t>
      </w:r>
    </w:p>
    <w:p w:rsidR="00C869BA" w:rsidRPr="00C869BA" w:rsidRDefault="00C869BA" w:rsidP="00C869BA">
      <w:pPr>
        <w:pStyle w:val="PargrafodaLista"/>
        <w:numPr>
          <w:ilvl w:val="0"/>
          <w:numId w:val="19"/>
        </w:numPr>
        <w:tabs>
          <w:tab w:val="left" w:pos="142"/>
          <w:tab w:val="left" w:pos="284"/>
          <w:tab w:val="left" w:pos="709"/>
          <w:tab w:val="left" w:pos="993"/>
        </w:tabs>
        <w:suppressAutoHyphens/>
        <w:spacing w:before="120"/>
        <w:ind w:left="0" w:firstLine="0"/>
        <w:contextualSpacing w:val="0"/>
        <w:rPr>
          <w:rFonts w:ascii="Arial" w:hAnsi="Arial" w:cs="Arial"/>
          <w:sz w:val="16"/>
          <w:szCs w:val="16"/>
        </w:rPr>
      </w:pPr>
      <w:r w:rsidRPr="00C869BA">
        <w:rPr>
          <w:rFonts w:ascii="Arial" w:hAnsi="Arial" w:cs="Arial"/>
          <w:sz w:val="16"/>
          <w:szCs w:val="16"/>
        </w:rPr>
        <w:t xml:space="preserve"> De 12 (doze) meses, no caso do descumprimento de especificação técnica relativa ao objeto previsto no contrato.</w:t>
      </w:r>
    </w:p>
    <w:p w:rsidR="00C869BA" w:rsidRPr="00C869BA" w:rsidRDefault="00C869BA" w:rsidP="00C869BA">
      <w:pPr>
        <w:pStyle w:val="ecxmsonormal"/>
        <w:numPr>
          <w:ilvl w:val="0"/>
          <w:numId w:val="19"/>
        </w:numPr>
        <w:shd w:val="clear" w:color="auto" w:fill="FFFFFF"/>
        <w:tabs>
          <w:tab w:val="left" w:pos="142"/>
          <w:tab w:val="left" w:pos="284"/>
          <w:tab w:val="left" w:pos="709"/>
          <w:tab w:val="left" w:pos="851"/>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   De 24 (vinte e quatro) meses, nos casos de:</w:t>
      </w:r>
    </w:p>
    <w:p w:rsidR="00C869BA" w:rsidRPr="00C869BA" w:rsidRDefault="00C869BA" w:rsidP="00C869BA">
      <w:pPr>
        <w:pStyle w:val="PargrafodaLista"/>
        <w:numPr>
          <w:ilvl w:val="1"/>
          <w:numId w:val="19"/>
        </w:numPr>
        <w:tabs>
          <w:tab w:val="left" w:pos="142"/>
          <w:tab w:val="left" w:pos="284"/>
          <w:tab w:val="left" w:pos="709"/>
          <w:tab w:val="left" w:pos="1276"/>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Retardamento imotivado no fornecimento do (s) objeto (s);</w:t>
      </w:r>
    </w:p>
    <w:p w:rsidR="00C869BA" w:rsidRPr="00C869BA" w:rsidRDefault="00C869BA" w:rsidP="00C869BA">
      <w:pPr>
        <w:pStyle w:val="PargrafodaLista"/>
        <w:numPr>
          <w:ilvl w:val="1"/>
          <w:numId w:val="19"/>
        </w:numPr>
        <w:tabs>
          <w:tab w:val="left" w:pos="142"/>
          <w:tab w:val="left" w:pos="284"/>
          <w:tab w:val="left" w:pos="709"/>
          <w:tab w:val="left" w:pos="1276"/>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Paralisação de fornecimento de bem, sem justa causa e prévia comunicação à Administração Pública Estadual;</w:t>
      </w:r>
    </w:p>
    <w:p w:rsidR="00C869BA" w:rsidRPr="00C869BA" w:rsidRDefault="00C869BA" w:rsidP="00C869BA">
      <w:pPr>
        <w:pStyle w:val="PargrafodaLista"/>
        <w:numPr>
          <w:ilvl w:val="1"/>
          <w:numId w:val="19"/>
        </w:numPr>
        <w:tabs>
          <w:tab w:val="left" w:pos="142"/>
          <w:tab w:val="left" w:pos="284"/>
          <w:tab w:val="left" w:pos="709"/>
          <w:tab w:val="left" w:pos="1276"/>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Entrega de mercadoria falsificada, furtada, deteriorada, danificada ou inadequada para o uso, como se verdadeira ou perfeita fosse;</w:t>
      </w:r>
    </w:p>
    <w:p w:rsidR="00C869BA" w:rsidRPr="00C869BA" w:rsidRDefault="00C869BA" w:rsidP="00C869BA">
      <w:pPr>
        <w:pStyle w:val="PargrafodaLista"/>
        <w:numPr>
          <w:ilvl w:val="1"/>
          <w:numId w:val="19"/>
        </w:numPr>
        <w:tabs>
          <w:tab w:val="left" w:pos="142"/>
          <w:tab w:val="left" w:pos="284"/>
          <w:tab w:val="left" w:pos="709"/>
          <w:tab w:val="left" w:pos="1276"/>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 xml:space="preserve">Praticar ato ilícito visando frustrar os objetivos de licitação no âmbito da Administração Pública Estadual; </w:t>
      </w:r>
      <w:proofErr w:type="gramStart"/>
      <w:r w:rsidRPr="00C869BA">
        <w:rPr>
          <w:rFonts w:ascii="Arial" w:hAnsi="Arial" w:cs="Arial"/>
          <w:sz w:val="16"/>
          <w:szCs w:val="16"/>
        </w:rPr>
        <w:t>ou</w:t>
      </w:r>
      <w:proofErr w:type="gramEnd"/>
    </w:p>
    <w:p w:rsidR="00C869BA" w:rsidRPr="00C869BA" w:rsidRDefault="00C869BA" w:rsidP="00C869BA">
      <w:pPr>
        <w:pStyle w:val="PargrafodaLista"/>
        <w:numPr>
          <w:ilvl w:val="1"/>
          <w:numId w:val="19"/>
        </w:numPr>
        <w:tabs>
          <w:tab w:val="left" w:pos="142"/>
          <w:tab w:val="left" w:pos="284"/>
          <w:tab w:val="left" w:pos="709"/>
          <w:tab w:val="left" w:pos="1276"/>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Sofrer condenação definitiva por praticar, por meio doloso, fraude fiscal no recolhimento de qualquer tributo;</w:t>
      </w:r>
    </w:p>
    <w:p w:rsidR="00C869BA" w:rsidRPr="00C869BA" w:rsidRDefault="00C869BA" w:rsidP="00C869BA">
      <w:pPr>
        <w:pStyle w:val="PargrafodaLista"/>
        <w:numPr>
          <w:ilvl w:val="0"/>
          <w:numId w:val="19"/>
        </w:numPr>
        <w:tabs>
          <w:tab w:val="left" w:pos="142"/>
          <w:tab w:val="left" w:pos="284"/>
          <w:tab w:val="left" w:pos="709"/>
          <w:tab w:val="left" w:pos="1134"/>
        </w:tabs>
        <w:suppressAutoHyphens/>
        <w:spacing w:before="120"/>
        <w:ind w:left="0" w:firstLine="0"/>
        <w:contextualSpacing w:val="0"/>
        <w:jc w:val="both"/>
        <w:rPr>
          <w:rFonts w:ascii="Arial" w:hAnsi="Arial" w:cs="Arial"/>
          <w:sz w:val="16"/>
          <w:szCs w:val="16"/>
        </w:rPr>
      </w:pPr>
      <w:r w:rsidRPr="00C869BA">
        <w:rPr>
          <w:rFonts w:ascii="Arial" w:hAnsi="Arial" w:cs="Arial"/>
          <w:sz w:val="16"/>
          <w:szCs w:val="16"/>
        </w:rPr>
        <w:t xml:space="preserve">De até </w:t>
      </w:r>
      <w:proofErr w:type="gramStart"/>
      <w:r w:rsidRPr="00C869BA">
        <w:rPr>
          <w:rFonts w:ascii="Arial" w:hAnsi="Arial" w:cs="Arial"/>
          <w:sz w:val="16"/>
          <w:szCs w:val="16"/>
        </w:rPr>
        <w:t>5</w:t>
      </w:r>
      <w:proofErr w:type="gramEnd"/>
      <w:r w:rsidRPr="00C869BA">
        <w:rPr>
          <w:rFonts w:ascii="Arial" w:hAnsi="Arial" w:cs="Arial"/>
          <w:sz w:val="16"/>
          <w:szCs w:val="16"/>
        </w:rPr>
        <w:t xml:space="preserve"> (cinco) anos, no caso de licitação na modalidade Pregão, nas situações previstas no art. 7º da Lei 10.520/2002 ou de 2 (dois) anos, nas demais modalidades licitatórias.</w:t>
      </w:r>
    </w:p>
    <w:p w:rsidR="00C869BA" w:rsidRPr="00C869BA" w:rsidRDefault="00C869BA" w:rsidP="00C869BA">
      <w:pPr>
        <w:pStyle w:val="PargrafodaLista"/>
        <w:numPr>
          <w:ilvl w:val="0"/>
          <w:numId w:val="38"/>
        </w:numPr>
        <w:tabs>
          <w:tab w:val="left" w:pos="142"/>
          <w:tab w:val="left" w:pos="284"/>
          <w:tab w:val="left" w:pos="709"/>
          <w:tab w:val="left" w:pos="1701"/>
        </w:tabs>
        <w:suppressAutoHyphens/>
        <w:spacing w:before="120"/>
        <w:ind w:left="0" w:firstLine="0"/>
        <w:contextualSpacing w:val="0"/>
        <w:jc w:val="both"/>
        <w:rPr>
          <w:rFonts w:ascii="Arial" w:hAnsi="Arial" w:cs="Arial"/>
          <w:sz w:val="16"/>
          <w:szCs w:val="16"/>
        </w:rPr>
      </w:pPr>
      <w:r w:rsidRPr="00C869BA">
        <w:rPr>
          <w:rFonts w:ascii="Arial" w:hAnsi="Arial" w:cs="Arial"/>
          <w:b/>
          <w:sz w:val="16"/>
          <w:szCs w:val="16"/>
          <w:u w:val="single"/>
        </w:rPr>
        <w:t>Declaração de inidoneidade para licitar ou contratar com a Administração Pública</w:t>
      </w:r>
      <w:r w:rsidRPr="00C869BA">
        <w:rPr>
          <w:rFonts w:ascii="Arial" w:hAnsi="Arial" w:cs="Arial"/>
          <w:sz w:val="16"/>
          <w:szCs w:val="16"/>
        </w:rPr>
        <w:t>, enquanto perdurarem os motivos determinantes da punição ou até que seja promovida a reabilitação do fornecedor perante a própria autoridade que aplicou a penalidade, que será concedida sempre que o contratado ressarcir a Administração Pública Estadual pelos prejuízos resultantes de ação ou omissão do mesmo.</w:t>
      </w:r>
    </w:p>
    <w:p w:rsidR="00C869BA" w:rsidRPr="00C869BA" w:rsidRDefault="00C869BA" w:rsidP="00C869BA">
      <w:pPr>
        <w:pStyle w:val="ecxmsonormal"/>
        <w:numPr>
          <w:ilvl w:val="3"/>
          <w:numId w:val="38"/>
        </w:numPr>
        <w:shd w:val="clear" w:color="auto" w:fill="FFFFFF"/>
        <w:tabs>
          <w:tab w:val="left" w:pos="142"/>
          <w:tab w:val="left" w:pos="284"/>
          <w:tab w:val="left" w:pos="709"/>
          <w:tab w:val="left" w:pos="993"/>
          <w:tab w:val="left" w:pos="184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Será declarado inidôneo, ficando impedido de licitar e contratar com Administração Pública Estadual, por tempo indeterminado, o fornecedor que demonstrar não possuir idoneidade para tanto, em virtude de ato ilícito praticado, conforme dispõe o artigo 26, § 2º, do Decreto nº 16.089/2011.</w:t>
      </w:r>
    </w:p>
    <w:p w:rsidR="00C869BA" w:rsidRPr="00C869BA" w:rsidRDefault="00C869BA" w:rsidP="00C869BA">
      <w:pPr>
        <w:pStyle w:val="ecxmsonormal"/>
        <w:numPr>
          <w:ilvl w:val="3"/>
          <w:numId w:val="38"/>
        </w:numPr>
        <w:shd w:val="clear" w:color="auto" w:fill="FFFFFF"/>
        <w:tabs>
          <w:tab w:val="left" w:pos="284"/>
          <w:tab w:val="left" w:pos="709"/>
          <w:tab w:val="left" w:pos="993"/>
          <w:tab w:val="left" w:pos="184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 O fornecedor será excluído do Cadastro de Fornecedores Impedidos de Licitar e Contratar com a Administração Pública Estadual – CAGEFIMP nas seguintes hipóteses, conforme dispõe o artigo 34, inciso II do Decreto nº 16.089/2011:</w:t>
      </w:r>
    </w:p>
    <w:p w:rsidR="00C869BA" w:rsidRPr="00C869BA" w:rsidRDefault="00C869BA" w:rsidP="00C869BA">
      <w:pPr>
        <w:pStyle w:val="PargrafodaLista"/>
        <w:numPr>
          <w:ilvl w:val="0"/>
          <w:numId w:val="20"/>
        </w:numPr>
        <w:tabs>
          <w:tab w:val="left" w:pos="284"/>
          <w:tab w:val="left" w:pos="709"/>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 xml:space="preserve">Expirado o prazo da suspensão, desde que cumpridas integralmente </w:t>
      </w:r>
      <w:proofErr w:type="gramStart"/>
      <w:r w:rsidRPr="00C869BA">
        <w:rPr>
          <w:rFonts w:ascii="Arial" w:hAnsi="Arial" w:cs="Arial"/>
          <w:sz w:val="16"/>
          <w:szCs w:val="16"/>
        </w:rPr>
        <w:t>as</w:t>
      </w:r>
      <w:proofErr w:type="gramEnd"/>
      <w:r w:rsidRPr="00C869BA">
        <w:rPr>
          <w:rFonts w:ascii="Arial" w:hAnsi="Arial" w:cs="Arial"/>
          <w:sz w:val="16"/>
          <w:szCs w:val="16"/>
        </w:rPr>
        <w:t xml:space="preserve"> punições impostas;</w:t>
      </w:r>
    </w:p>
    <w:p w:rsidR="00C869BA" w:rsidRPr="00C869BA" w:rsidRDefault="00C869BA" w:rsidP="00C869BA">
      <w:pPr>
        <w:pStyle w:val="PargrafodaLista"/>
        <w:numPr>
          <w:ilvl w:val="0"/>
          <w:numId w:val="20"/>
        </w:numPr>
        <w:tabs>
          <w:tab w:val="left" w:pos="284"/>
          <w:tab w:val="left" w:pos="709"/>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 xml:space="preserve">A pedido do fornecedor declarado inidôneo, decorrido o prazo mínimo de </w:t>
      </w:r>
      <w:proofErr w:type="gramStart"/>
      <w:r w:rsidRPr="00C869BA">
        <w:rPr>
          <w:rFonts w:ascii="Arial" w:hAnsi="Arial" w:cs="Arial"/>
          <w:sz w:val="16"/>
          <w:szCs w:val="16"/>
        </w:rPr>
        <w:t>2</w:t>
      </w:r>
      <w:proofErr w:type="gramEnd"/>
      <w:r w:rsidRPr="00C869BA">
        <w:rPr>
          <w:rFonts w:ascii="Arial" w:hAnsi="Arial" w:cs="Arial"/>
          <w:sz w:val="16"/>
          <w:szCs w:val="16"/>
        </w:rPr>
        <w:t xml:space="preserve"> (dois) anos, desde que reabilitado pela Administração Pública Estadual, na forma do disposto no § 3º, do art. 87, da Lei Federal nº 8.666, de 1993; e</w:t>
      </w:r>
    </w:p>
    <w:p w:rsidR="00C869BA" w:rsidRPr="00C869BA" w:rsidRDefault="00C869BA" w:rsidP="00C869BA">
      <w:pPr>
        <w:pStyle w:val="PargrafodaLista"/>
        <w:numPr>
          <w:ilvl w:val="0"/>
          <w:numId w:val="20"/>
        </w:numPr>
        <w:tabs>
          <w:tab w:val="left" w:pos="284"/>
          <w:tab w:val="left" w:pos="709"/>
          <w:tab w:val="left" w:pos="1701"/>
        </w:tabs>
        <w:autoSpaceDE w:val="0"/>
        <w:autoSpaceDN w:val="0"/>
        <w:adjustRightInd w:val="0"/>
        <w:spacing w:before="120"/>
        <w:ind w:left="0" w:firstLine="0"/>
        <w:contextualSpacing w:val="0"/>
        <w:jc w:val="both"/>
        <w:rPr>
          <w:rFonts w:ascii="Arial" w:hAnsi="Arial" w:cs="Arial"/>
          <w:sz w:val="16"/>
          <w:szCs w:val="16"/>
        </w:rPr>
      </w:pPr>
      <w:r w:rsidRPr="00C869BA">
        <w:rPr>
          <w:rFonts w:ascii="Arial" w:hAnsi="Arial" w:cs="Arial"/>
          <w:sz w:val="16"/>
          <w:szCs w:val="16"/>
        </w:rPr>
        <w:t>Por determinação judicial.</w:t>
      </w:r>
    </w:p>
    <w:p w:rsidR="00C869BA" w:rsidRPr="00C869BA" w:rsidRDefault="00C869BA" w:rsidP="00C869BA">
      <w:pPr>
        <w:pStyle w:val="ecxmsonormal"/>
        <w:numPr>
          <w:ilvl w:val="0"/>
          <w:numId w:val="40"/>
        </w:numPr>
        <w:shd w:val="clear" w:color="auto" w:fill="FFFFFF"/>
        <w:tabs>
          <w:tab w:val="left" w:pos="567"/>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As sanções de advertência, suspensão e inidoneidade poderão ser aplicadas juntamente com a multa, conforme dispõe o § 2º do art. 87 da Lei nº 8.666/93, assegurado o direito de defesa prévia do interessado no prazo de </w:t>
      </w:r>
      <w:proofErr w:type="gramStart"/>
      <w:r w:rsidRPr="00C869BA">
        <w:rPr>
          <w:rFonts w:ascii="Arial" w:hAnsi="Arial" w:cs="Arial"/>
          <w:sz w:val="16"/>
          <w:szCs w:val="16"/>
        </w:rPr>
        <w:t>5</w:t>
      </w:r>
      <w:proofErr w:type="gramEnd"/>
      <w:r w:rsidRPr="00C869BA">
        <w:rPr>
          <w:rFonts w:ascii="Arial" w:hAnsi="Arial" w:cs="Arial"/>
          <w:sz w:val="16"/>
          <w:szCs w:val="16"/>
        </w:rPr>
        <w:t xml:space="preserve"> (cinco) dias úteis.</w:t>
      </w:r>
    </w:p>
    <w:p w:rsidR="00C869BA" w:rsidRPr="00C869BA" w:rsidRDefault="00C869BA" w:rsidP="00C869BA">
      <w:pPr>
        <w:pStyle w:val="ecxmsonormal"/>
        <w:numPr>
          <w:ilvl w:val="0"/>
          <w:numId w:val="40"/>
        </w:numPr>
        <w:shd w:val="clear" w:color="auto" w:fill="FFFFFF"/>
        <w:tabs>
          <w:tab w:val="left" w:pos="567"/>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lastRenderedPageBreak/>
        <w:t xml:space="preserve">As penalidades de advertência e multa serão aplicadas de ofício ou por provocação dos órgãos de controle, pela autoridade expressamente nomeada no edital ou no instrumento contratual. </w:t>
      </w:r>
    </w:p>
    <w:p w:rsidR="00C869BA" w:rsidRPr="00C869BA" w:rsidRDefault="00C869BA" w:rsidP="00C869BA">
      <w:pPr>
        <w:pStyle w:val="ecxmsonormal"/>
        <w:numPr>
          <w:ilvl w:val="0"/>
          <w:numId w:val="40"/>
        </w:numPr>
        <w:shd w:val="clear" w:color="auto" w:fill="FFFFFF"/>
        <w:tabs>
          <w:tab w:val="left" w:pos="567"/>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A sanção denominada “Advertência” só terá lugar se emitida por escrito e quando se tratar de </w:t>
      </w:r>
      <w:r w:rsidRPr="00C869BA">
        <w:rPr>
          <w:rFonts w:ascii="Arial" w:hAnsi="Arial" w:cs="Arial"/>
          <w:b/>
          <w:sz w:val="16"/>
          <w:szCs w:val="16"/>
          <w:u w:val="single"/>
        </w:rPr>
        <w:t>faltas leves</w:t>
      </w:r>
      <w:r w:rsidRPr="00C869BA">
        <w:rPr>
          <w:rFonts w:ascii="Arial" w:hAnsi="Arial" w:cs="Arial"/>
          <w:sz w:val="16"/>
          <w:szCs w:val="16"/>
        </w:rPr>
        <w:t xml:space="preserve">, assim entendidas como aquelas que não acarretarem prejuízos significativos ao objeto da contratação, </w:t>
      </w:r>
      <w:r w:rsidRPr="00C869BA">
        <w:rPr>
          <w:rFonts w:ascii="Arial" w:hAnsi="Arial" w:cs="Arial"/>
          <w:sz w:val="16"/>
          <w:szCs w:val="16"/>
          <w:u w:val="single"/>
        </w:rPr>
        <w:t>cabível somente até a segunda aplicação (reincidência) para a mesma infração</w:t>
      </w:r>
      <w:r w:rsidRPr="00C869BA">
        <w:rPr>
          <w:rFonts w:ascii="Arial" w:hAnsi="Arial" w:cs="Arial"/>
          <w:sz w:val="16"/>
          <w:szCs w:val="16"/>
        </w:rPr>
        <w:t>, caso não se verifique a adequação da conduta por parte da Contratada, após o que deverão ser aplicadas sanções de grau mais significativo.</w:t>
      </w:r>
    </w:p>
    <w:p w:rsidR="00C869BA" w:rsidRPr="00C869BA" w:rsidRDefault="00C869BA" w:rsidP="00C869BA">
      <w:pPr>
        <w:pStyle w:val="ecxmsonormal"/>
        <w:numPr>
          <w:ilvl w:val="0"/>
          <w:numId w:val="40"/>
        </w:numPr>
        <w:shd w:val="clear" w:color="auto" w:fill="FFFFFF"/>
        <w:tabs>
          <w:tab w:val="left" w:pos="567"/>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São </w:t>
      </w:r>
      <w:r w:rsidRPr="00C869BA">
        <w:rPr>
          <w:rFonts w:ascii="Arial" w:hAnsi="Arial" w:cs="Arial"/>
          <w:b/>
          <w:sz w:val="16"/>
          <w:szCs w:val="16"/>
          <w:u w:val="single"/>
        </w:rPr>
        <w:t>exemplos</w:t>
      </w:r>
      <w:r w:rsidRPr="00C869BA">
        <w:rPr>
          <w:rFonts w:ascii="Arial" w:hAnsi="Arial" w:cs="Arial"/>
          <w:sz w:val="16"/>
          <w:szCs w:val="16"/>
        </w:rPr>
        <w:t xml:space="preserve"> de infração administrativa penalizáveis, nos termos da legislação a (o):</w:t>
      </w:r>
    </w:p>
    <w:p w:rsidR="00C869BA" w:rsidRPr="00C869BA" w:rsidRDefault="00C869BA" w:rsidP="00C869BA">
      <w:pPr>
        <w:pStyle w:val="ecxmsonormal"/>
        <w:numPr>
          <w:ilvl w:val="0"/>
          <w:numId w:val="41"/>
        </w:numPr>
        <w:shd w:val="clear" w:color="auto" w:fill="FFFFFF"/>
        <w:tabs>
          <w:tab w:val="left" w:pos="284"/>
          <w:tab w:val="left" w:pos="709"/>
          <w:tab w:val="left" w:pos="993"/>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Inexecução total ou parcial do contrato;</w:t>
      </w:r>
    </w:p>
    <w:p w:rsidR="00C869BA" w:rsidRPr="00C869BA" w:rsidRDefault="00C869BA" w:rsidP="00C869BA">
      <w:pPr>
        <w:pStyle w:val="ecxmsonormal"/>
        <w:numPr>
          <w:ilvl w:val="0"/>
          <w:numId w:val="41"/>
        </w:numPr>
        <w:shd w:val="clear" w:color="auto" w:fill="FFFFFF"/>
        <w:tabs>
          <w:tab w:val="left" w:pos="284"/>
          <w:tab w:val="left" w:pos="709"/>
          <w:tab w:val="left" w:pos="993"/>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Apresentação de documentação falsa;</w:t>
      </w:r>
    </w:p>
    <w:p w:rsidR="00C869BA" w:rsidRPr="00C869BA" w:rsidRDefault="00C869BA" w:rsidP="00C869BA">
      <w:pPr>
        <w:pStyle w:val="ecxmsonormal"/>
        <w:numPr>
          <w:ilvl w:val="0"/>
          <w:numId w:val="41"/>
        </w:numPr>
        <w:shd w:val="clear" w:color="auto" w:fill="FFFFFF"/>
        <w:tabs>
          <w:tab w:val="left" w:pos="284"/>
          <w:tab w:val="left" w:pos="709"/>
          <w:tab w:val="left" w:pos="993"/>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Comportamento inidôneo;</w:t>
      </w:r>
    </w:p>
    <w:p w:rsidR="00C869BA" w:rsidRPr="00C869BA" w:rsidRDefault="00C869BA" w:rsidP="00C869BA">
      <w:pPr>
        <w:pStyle w:val="ecxmsonormal"/>
        <w:numPr>
          <w:ilvl w:val="0"/>
          <w:numId w:val="41"/>
        </w:numPr>
        <w:shd w:val="clear" w:color="auto" w:fill="FFFFFF"/>
        <w:tabs>
          <w:tab w:val="left" w:pos="284"/>
          <w:tab w:val="left" w:pos="709"/>
          <w:tab w:val="left" w:pos="993"/>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Fraude fiscal;</w:t>
      </w:r>
    </w:p>
    <w:p w:rsidR="00C869BA" w:rsidRPr="00C869BA" w:rsidRDefault="00C869BA" w:rsidP="00C869BA">
      <w:pPr>
        <w:pStyle w:val="ecxmsonormal"/>
        <w:numPr>
          <w:ilvl w:val="0"/>
          <w:numId w:val="41"/>
        </w:numPr>
        <w:shd w:val="clear" w:color="auto" w:fill="FFFFFF"/>
        <w:tabs>
          <w:tab w:val="left" w:pos="284"/>
          <w:tab w:val="left" w:pos="709"/>
          <w:tab w:val="left" w:pos="993"/>
        </w:tabs>
        <w:spacing w:before="0" w:beforeAutospacing="0" w:after="0" w:afterAutospacing="0"/>
        <w:ind w:left="0" w:firstLine="0"/>
        <w:jc w:val="both"/>
        <w:rPr>
          <w:rFonts w:ascii="Arial" w:hAnsi="Arial" w:cs="Arial"/>
          <w:sz w:val="16"/>
          <w:szCs w:val="16"/>
        </w:rPr>
      </w:pPr>
      <w:r w:rsidRPr="00C869BA">
        <w:rPr>
          <w:rFonts w:ascii="Arial" w:hAnsi="Arial" w:cs="Arial"/>
          <w:sz w:val="16"/>
          <w:szCs w:val="16"/>
        </w:rPr>
        <w:t>Descumprimento de qualquer dos deveres elencados no Edital ou no Contrato.</w:t>
      </w:r>
    </w:p>
    <w:p w:rsidR="00C869BA" w:rsidRPr="00C869BA" w:rsidRDefault="00C869BA" w:rsidP="00C869BA">
      <w:pPr>
        <w:pStyle w:val="ecxmsonormal"/>
        <w:numPr>
          <w:ilvl w:val="0"/>
          <w:numId w:val="42"/>
        </w:numPr>
        <w:shd w:val="clear" w:color="auto" w:fill="FFFFFF"/>
        <w:tabs>
          <w:tab w:val="left" w:pos="284"/>
          <w:tab w:val="left" w:pos="426"/>
          <w:tab w:val="left" w:pos="709"/>
          <w:tab w:val="left" w:pos="99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C869BA" w:rsidRPr="00C869BA" w:rsidRDefault="00C869BA" w:rsidP="00C869BA">
      <w:pPr>
        <w:pStyle w:val="ecxmsonormal"/>
        <w:numPr>
          <w:ilvl w:val="0"/>
          <w:numId w:val="42"/>
        </w:numPr>
        <w:shd w:val="clear" w:color="auto" w:fill="FFFFFF"/>
        <w:tabs>
          <w:tab w:val="left" w:pos="284"/>
          <w:tab w:val="left" w:pos="426"/>
          <w:tab w:val="left" w:pos="709"/>
          <w:tab w:val="left" w:pos="99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As sanções serão obrigatoriamente registradas no Sistema de Cadastramento Unificado de Fornecedores – SICAF, bem como no Cadastro de Fornecedores Impedidos de Licitar e Contratar com a Administração Pública Estadual – CAGEFIMP gerido pela Controladoria Geral do Estado – CGE.</w:t>
      </w:r>
    </w:p>
    <w:p w:rsidR="00C869BA" w:rsidRPr="00C869BA" w:rsidRDefault="00C869BA" w:rsidP="00C869BA">
      <w:pPr>
        <w:pStyle w:val="ecxmsonormal"/>
        <w:numPr>
          <w:ilvl w:val="0"/>
          <w:numId w:val="42"/>
        </w:numPr>
        <w:shd w:val="clear" w:color="auto" w:fill="FFFFFF"/>
        <w:tabs>
          <w:tab w:val="left" w:pos="284"/>
          <w:tab w:val="left" w:pos="426"/>
          <w:tab w:val="left" w:pos="709"/>
          <w:tab w:val="left" w:pos="993"/>
        </w:tabs>
        <w:spacing w:before="120" w:beforeAutospacing="0" w:after="0" w:afterAutospacing="0"/>
        <w:ind w:left="0" w:firstLine="0"/>
        <w:jc w:val="both"/>
        <w:rPr>
          <w:rFonts w:ascii="Arial" w:hAnsi="Arial" w:cs="Arial"/>
          <w:sz w:val="16"/>
          <w:szCs w:val="16"/>
        </w:rPr>
      </w:pPr>
      <w:r w:rsidRPr="00C869BA">
        <w:rPr>
          <w:rFonts w:ascii="Arial" w:hAnsi="Arial" w:cs="Arial"/>
          <w:sz w:val="16"/>
          <w:szCs w:val="16"/>
        </w:rPr>
        <w:t xml:space="preserve">Também ficam </w:t>
      </w:r>
      <w:r w:rsidRPr="00C869BA">
        <w:rPr>
          <w:rFonts w:ascii="Arial" w:hAnsi="Arial" w:cs="Arial"/>
          <w:b/>
          <w:sz w:val="16"/>
          <w:szCs w:val="16"/>
          <w:u w:val="single"/>
        </w:rPr>
        <w:t>sujeitas</w:t>
      </w:r>
      <w:r w:rsidRPr="00C869BA">
        <w:rPr>
          <w:rFonts w:ascii="Arial" w:hAnsi="Arial" w:cs="Arial"/>
          <w:sz w:val="16"/>
          <w:szCs w:val="16"/>
        </w:rPr>
        <w:t xml:space="preserve"> às penalidades de suspensão de licitar e impedimento de contratar com o órgão licitante e de declaração de inidoneidade, previstas no subitem anterior, as empresas ou profissionais que, em razão do contrato decorrente da licitação:</w:t>
      </w:r>
    </w:p>
    <w:p w:rsidR="00C869BA" w:rsidRPr="00C869BA" w:rsidRDefault="00C869BA" w:rsidP="00C869BA">
      <w:pPr>
        <w:pStyle w:val="PargrafodaLista"/>
        <w:numPr>
          <w:ilvl w:val="0"/>
          <w:numId w:val="22"/>
        </w:numPr>
        <w:tabs>
          <w:tab w:val="left" w:pos="284"/>
          <w:tab w:val="left" w:pos="709"/>
          <w:tab w:val="left" w:pos="1134"/>
        </w:tabs>
        <w:ind w:left="0" w:firstLine="142"/>
        <w:contextualSpacing w:val="0"/>
        <w:jc w:val="both"/>
        <w:rPr>
          <w:rFonts w:ascii="Arial" w:hAnsi="Arial" w:cs="Arial"/>
          <w:sz w:val="16"/>
          <w:szCs w:val="16"/>
        </w:rPr>
      </w:pPr>
      <w:r w:rsidRPr="00C869BA">
        <w:rPr>
          <w:rFonts w:ascii="Arial" w:hAnsi="Arial" w:cs="Arial"/>
          <w:sz w:val="16"/>
          <w:szCs w:val="16"/>
        </w:rPr>
        <w:t>Tenham sofrido condenações definitivas por praticarem, por meio dolosos, fraude fiscal no recolhimento de tributos;</w:t>
      </w:r>
    </w:p>
    <w:p w:rsidR="00C869BA" w:rsidRPr="00C869BA" w:rsidRDefault="00C869BA" w:rsidP="00C869BA">
      <w:pPr>
        <w:pStyle w:val="PargrafodaLista"/>
        <w:numPr>
          <w:ilvl w:val="0"/>
          <w:numId w:val="22"/>
        </w:numPr>
        <w:tabs>
          <w:tab w:val="left" w:pos="284"/>
          <w:tab w:val="left" w:pos="709"/>
          <w:tab w:val="left" w:pos="1134"/>
        </w:tabs>
        <w:ind w:left="0" w:firstLine="142"/>
        <w:contextualSpacing w:val="0"/>
        <w:jc w:val="both"/>
        <w:rPr>
          <w:rFonts w:ascii="Arial" w:hAnsi="Arial" w:cs="Arial"/>
          <w:sz w:val="16"/>
          <w:szCs w:val="16"/>
        </w:rPr>
      </w:pPr>
      <w:r w:rsidRPr="00C869BA">
        <w:rPr>
          <w:rFonts w:ascii="Arial" w:hAnsi="Arial" w:cs="Arial"/>
          <w:sz w:val="16"/>
          <w:szCs w:val="16"/>
        </w:rPr>
        <w:t>Tenham praticado atos ilícitos visando a frustrar os objetivos da licitação;</w:t>
      </w:r>
    </w:p>
    <w:p w:rsidR="00C869BA" w:rsidRPr="00C869BA" w:rsidRDefault="00C869BA" w:rsidP="00C869BA">
      <w:pPr>
        <w:pStyle w:val="PargrafodaLista"/>
        <w:numPr>
          <w:ilvl w:val="0"/>
          <w:numId w:val="22"/>
        </w:numPr>
        <w:tabs>
          <w:tab w:val="left" w:pos="284"/>
          <w:tab w:val="left" w:pos="709"/>
          <w:tab w:val="left" w:pos="1134"/>
        </w:tabs>
        <w:ind w:left="0" w:firstLine="142"/>
        <w:contextualSpacing w:val="0"/>
        <w:jc w:val="both"/>
        <w:rPr>
          <w:rFonts w:ascii="Arial" w:hAnsi="Arial" w:cs="Arial"/>
          <w:sz w:val="16"/>
          <w:szCs w:val="16"/>
        </w:rPr>
      </w:pPr>
      <w:r w:rsidRPr="00C869BA">
        <w:rPr>
          <w:rFonts w:ascii="Arial" w:hAnsi="Arial" w:cs="Arial"/>
          <w:sz w:val="16"/>
          <w:szCs w:val="16"/>
        </w:rPr>
        <w:t>Demonstrem não possuir idoneidade para contratar com a Administração em virtude de atos ilícitos praticados.</w:t>
      </w:r>
    </w:p>
    <w:p w:rsidR="00C869BA" w:rsidRPr="00C869BA" w:rsidRDefault="00C869BA" w:rsidP="00C869BA">
      <w:pPr>
        <w:pStyle w:val="SemEspaamento"/>
        <w:tabs>
          <w:tab w:val="left" w:pos="284"/>
          <w:tab w:val="left" w:pos="709"/>
          <w:tab w:val="left" w:pos="993"/>
          <w:tab w:val="left" w:pos="1134"/>
        </w:tabs>
        <w:spacing w:before="120"/>
        <w:jc w:val="both"/>
        <w:rPr>
          <w:rFonts w:ascii="Arial" w:hAnsi="Arial" w:cs="Arial"/>
          <w:sz w:val="16"/>
          <w:szCs w:val="16"/>
        </w:rPr>
      </w:pPr>
      <w:r w:rsidRPr="00C869BA">
        <w:rPr>
          <w:rFonts w:ascii="Arial" w:hAnsi="Arial" w:cs="Arial"/>
          <w:b/>
          <w:sz w:val="16"/>
          <w:szCs w:val="16"/>
        </w:rPr>
        <w:t xml:space="preserve">9.10 </w:t>
      </w:r>
      <w:r w:rsidRPr="00C869BA">
        <w:rPr>
          <w:rFonts w:ascii="Arial" w:hAnsi="Arial" w:cs="Arial"/>
          <w:sz w:val="16"/>
          <w:szCs w:val="16"/>
        </w:rPr>
        <w:t xml:space="preserve">A autoridade competente, na aplicação das sanções, levará em consideração a gravidade da conduta do infrator, o caráter educativo da pena, bem como o dano causado à Administração, observado os princípios da proporcionalidade e razoabilidade, penalidades específicas e proporcionais </w:t>
      </w:r>
      <w:proofErr w:type="gramStart"/>
      <w:r w:rsidRPr="00C869BA">
        <w:rPr>
          <w:rFonts w:ascii="Arial" w:hAnsi="Arial" w:cs="Arial"/>
          <w:sz w:val="16"/>
          <w:szCs w:val="16"/>
        </w:rPr>
        <w:t>a</w:t>
      </w:r>
      <w:proofErr w:type="gramEnd"/>
      <w:r w:rsidRPr="00C869BA">
        <w:rPr>
          <w:rFonts w:ascii="Arial" w:hAnsi="Arial" w:cs="Arial"/>
          <w:sz w:val="16"/>
          <w:szCs w:val="16"/>
        </w:rPr>
        <w:t xml:space="preserve"> gravidade dos eventuais descumprimentos contratuais, de acordo com o Acórdão 1453/2009 Plenário – TCU.</w:t>
      </w:r>
    </w:p>
    <w:p w:rsidR="00C869BA" w:rsidRDefault="00C869BA" w:rsidP="009D2314">
      <w:pPr>
        <w:jc w:val="both"/>
        <w:rPr>
          <w:rFonts w:ascii="Arial" w:hAnsi="Arial" w:cs="Arial"/>
          <w:b/>
          <w:bCs/>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C869BA"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SUGESP</w:t>
      </w:r>
      <w:r w:rsidR="007043D1">
        <w:rPr>
          <w:rFonts w:ascii="Arial" w:hAnsi="Arial" w:cs="Arial"/>
          <w:b/>
          <w:sz w:val="16"/>
          <w:szCs w:val="16"/>
        </w:rPr>
        <w:t xml:space="preserve"> </w:t>
      </w:r>
      <w:r w:rsidR="00667D86">
        <w:rPr>
          <w:rFonts w:ascii="Arial" w:hAnsi="Arial" w:cs="Arial"/>
          <w:b/>
          <w:sz w:val="16"/>
          <w:szCs w:val="16"/>
        </w:rPr>
        <w:t>–</w:t>
      </w:r>
      <w:r w:rsidR="007043D1">
        <w:rPr>
          <w:rFonts w:ascii="Arial" w:hAnsi="Arial" w:cs="Arial"/>
          <w:b/>
          <w:sz w:val="16"/>
          <w:szCs w:val="16"/>
        </w:rPr>
        <w:t xml:space="preserve"> </w:t>
      </w:r>
      <w:r w:rsidR="00667D86">
        <w:rPr>
          <w:rFonts w:ascii="Arial" w:hAnsi="Arial" w:cs="Arial"/>
          <w:sz w:val="16"/>
          <w:szCs w:val="16"/>
        </w:rPr>
        <w:t>S</w:t>
      </w:r>
      <w:r>
        <w:rPr>
          <w:rFonts w:ascii="Arial" w:hAnsi="Arial" w:cs="Arial"/>
          <w:sz w:val="16"/>
          <w:szCs w:val="16"/>
        </w:rPr>
        <w:t>uperintendência de Gestão dos Gastos Públicos Administrativos</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B4A33"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25E03E5"/>
    <w:multiLevelType w:val="hybridMultilevel"/>
    <w:tmpl w:val="25D6E24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8D177CF"/>
    <w:multiLevelType w:val="multilevel"/>
    <w:tmpl w:val="09C659FE"/>
    <w:lvl w:ilvl="0">
      <w:start w:val="9"/>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1D59F5"/>
    <w:multiLevelType w:val="hybridMultilevel"/>
    <w:tmpl w:val="A19E99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AB8770D"/>
    <w:multiLevelType w:val="multilevel"/>
    <w:tmpl w:val="E432EDE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4">
    <w:nsid w:val="45CC667B"/>
    <w:multiLevelType w:val="hybridMultilevel"/>
    <w:tmpl w:val="EE76DB62"/>
    <w:lvl w:ilvl="0" w:tplc="BA606D02">
      <w:start w:val="7"/>
      <w:numFmt w:val="decimal"/>
      <w:lvlText w:val="9.%1."/>
      <w:lvlJc w:val="left"/>
      <w:pPr>
        <w:ind w:left="1287"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7">
    <w:nsid w:val="49E3431A"/>
    <w:multiLevelType w:val="multilevel"/>
    <w:tmpl w:val="DF30C9A6"/>
    <w:lvl w:ilvl="0">
      <w:start w:val="1"/>
      <w:numFmt w:val="decimal"/>
      <w:lvlText w:val="%1."/>
      <w:lvlJc w:val="left"/>
      <w:pPr>
        <w:ind w:left="502" w:hanging="360"/>
      </w:pPr>
      <w:rPr>
        <w:b/>
      </w:rPr>
    </w:lvl>
    <w:lvl w:ilvl="1">
      <w:start w:val="1"/>
      <w:numFmt w:val="decimal"/>
      <w:isLgl/>
      <w:lvlText w:val="%1.%2"/>
      <w:lvlJc w:val="left"/>
      <w:pPr>
        <w:ind w:left="1190" w:hanging="48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2">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5">
    <w:nsid w:val="5D275C87"/>
    <w:multiLevelType w:val="multilevel"/>
    <w:tmpl w:val="8CE6BC3E"/>
    <w:lvl w:ilvl="0">
      <w:start w:val="3"/>
      <w:numFmt w:val="decimal"/>
      <w:lvlText w:val="9.%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CB06B81"/>
    <w:multiLevelType w:val="hybridMultilevel"/>
    <w:tmpl w:val="9DC644DE"/>
    <w:lvl w:ilvl="0" w:tplc="C5FA9D36">
      <w:start w:val="4"/>
      <w:numFmt w:val="decimal"/>
      <w:lvlText w:val="8.2.%1"/>
      <w:lvlJc w:val="left"/>
      <w:pPr>
        <w:ind w:left="1287"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8.2.4.%4"/>
      <w:lvlJc w:val="left"/>
      <w:pPr>
        <w:ind w:left="2880" w:hanging="360"/>
      </w:pPr>
      <w:rPr>
        <w:rFonts w:hint="default"/>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D692E37"/>
    <w:multiLevelType w:val="hybridMultilevel"/>
    <w:tmpl w:val="78E4601E"/>
    <w:lvl w:ilvl="0" w:tplc="C4768926">
      <w:start w:val="1"/>
      <w:numFmt w:val="low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40">
    <w:nsid w:val="6F596C26"/>
    <w:multiLevelType w:val="hybridMultilevel"/>
    <w:tmpl w:val="91109818"/>
    <w:lvl w:ilvl="0" w:tplc="74A8CC1A">
      <w:start w:val="1"/>
      <w:numFmt w:val="decimal"/>
      <w:lvlText w:val="8.2.2.%1"/>
      <w:lvlJc w:val="left"/>
      <w:pPr>
        <w:ind w:left="1287"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5D981044"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4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30"/>
  </w:num>
  <w:num w:numId="2">
    <w:abstractNumId w:val="20"/>
  </w:num>
  <w:num w:numId="3">
    <w:abstractNumId w:val="9"/>
  </w:num>
  <w:num w:numId="4">
    <w:abstractNumId w:val="8"/>
  </w:num>
  <w:num w:numId="5">
    <w:abstractNumId w:val="25"/>
  </w:num>
  <w:num w:numId="6">
    <w:abstractNumId w:val="22"/>
  </w:num>
  <w:num w:numId="7">
    <w:abstractNumId w:val="38"/>
  </w:num>
  <w:num w:numId="8">
    <w:abstractNumId w:val="16"/>
  </w:num>
  <w:num w:numId="9">
    <w:abstractNumId w:val="19"/>
  </w:num>
  <w:num w:numId="10">
    <w:abstractNumId w:val="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2"/>
  </w:num>
  <w:num w:numId="14">
    <w:abstractNumId w:val="42"/>
  </w:num>
  <w:num w:numId="15">
    <w:abstractNumId w:val="3"/>
  </w:num>
  <w:num w:numId="16">
    <w:abstractNumId w:val="5"/>
  </w:num>
  <w:num w:numId="17">
    <w:abstractNumId w:val="23"/>
  </w:num>
  <w:num w:numId="18">
    <w:abstractNumId w:val="41"/>
  </w:num>
  <w:num w:numId="19">
    <w:abstractNumId w:val="15"/>
  </w:num>
  <w:num w:numId="20">
    <w:abstractNumId w:val="34"/>
  </w:num>
  <w:num w:numId="21">
    <w:abstractNumId w:val="10"/>
  </w:num>
  <w:num w:numId="22">
    <w:abstractNumId w:val="17"/>
  </w:num>
  <w:num w:numId="23">
    <w:abstractNumId w:val="26"/>
  </w:num>
  <w:num w:numId="24">
    <w:abstractNumId w:val="29"/>
  </w:num>
  <w:num w:numId="25">
    <w:abstractNumId w:val="28"/>
  </w:num>
  <w:num w:numId="26">
    <w:abstractNumId w:val="1"/>
  </w:num>
  <w:num w:numId="27">
    <w:abstractNumId w:val="2"/>
  </w:num>
  <w:num w:numId="28">
    <w:abstractNumId w:val="12"/>
  </w:num>
  <w:num w:numId="29">
    <w:abstractNumId w:val="11"/>
  </w:num>
  <w:num w:numId="30">
    <w:abstractNumId w:val="33"/>
  </w:num>
  <w:num w:numId="31">
    <w:abstractNumId w:val="31"/>
  </w:num>
  <w:num w:numId="32">
    <w:abstractNumId w:val="18"/>
  </w:num>
  <w:num w:numId="33">
    <w:abstractNumId w:val="27"/>
  </w:num>
  <w:num w:numId="34">
    <w:abstractNumId w:val="14"/>
  </w:num>
  <w:num w:numId="35">
    <w:abstractNumId w:val="4"/>
  </w:num>
  <w:num w:numId="36">
    <w:abstractNumId w:val="21"/>
  </w:num>
  <w:num w:numId="37">
    <w:abstractNumId w:val="40"/>
  </w:num>
  <w:num w:numId="38">
    <w:abstractNumId w:val="36"/>
  </w:num>
  <w:num w:numId="39">
    <w:abstractNumId w:val="6"/>
  </w:num>
  <w:num w:numId="40">
    <w:abstractNumId w:val="35"/>
  </w:num>
  <w:num w:numId="41">
    <w:abstractNumId w:val="37"/>
  </w:num>
  <w:num w:numId="42">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30F3"/>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1EF4"/>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5B65"/>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179AF"/>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0908"/>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67D86"/>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B4A33"/>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76AA6"/>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69BA"/>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0A66"/>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uiPriority w:val="1"/>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ecxmsonormal">
    <w:name w:val="ecxmsonormal"/>
    <w:basedOn w:val="Normal"/>
    <w:rsid w:val="00C869BA"/>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31E92-EB52-418B-8764-A53D2E87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3111</Words>
  <Characters>17309</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12</cp:revision>
  <cp:lastPrinted>2016-10-24T12:08:00Z</cp:lastPrinted>
  <dcterms:created xsi:type="dcterms:W3CDTF">2016-08-31T12:03:00Z</dcterms:created>
  <dcterms:modified xsi:type="dcterms:W3CDTF">2016-10-24T14:08:00Z</dcterms:modified>
</cp:coreProperties>
</file>